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839E6" w14:textId="291AE47E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</w:t>
      </w:r>
      <w:r w:rsidR="00D002C3">
        <w:rPr>
          <w:b/>
          <w:noProof/>
          <w:sz w:val="24"/>
        </w:rPr>
        <w:t>1</w:t>
      </w:r>
      <w:r w:rsidR="00813179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11049A" w:rsidRPr="0011049A">
        <w:rPr>
          <w:b/>
          <w:noProof/>
          <w:sz w:val="24"/>
        </w:rPr>
        <w:t>R4-24</w:t>
      </w:r>
      <w:r w:rsidR="00BC5704">
        <w:rPr>
          <w:b/>
          <w:noProof/>
          <w:sz w:val="24"/>
        </w:rPr>
        <w:t>07893</w:t>
      </w:r>
    </w:p>
    <w:p w14:paraId="6F266879" w14:textId="77777777" w:rsidR="00813179" w:rsidRPr="000C245A" w:rsidRDefault="00813179" w:rsidP="00813179">
      <w:pPr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0C245A">
        <w:rPr>
          <w:rFonts w:ascii="Arial" w:eastAsia="宋体" w:hAnsi="Arial"/>
          <w:b/>
          <w:sz w:val="24"/>
          <w:szCs w:val="24"/>
        </w:rPr>
        <w:t>Fukuoka, Japan, 20</w:t>
      </w:r>
      <w:r w:rsidRPr="000C245A">
        <w:rPr>
          <w:rFonts w:ascii="Arial" w:eastAsia="宋体" w:hAnsi="Arial"/>
          <w:b/>
          <w:sz w:val="24"/>
          <w:szCs w:val="24"/>
          <w:vertAlign w:val="superscript"/>
        </w:rPr>
        <w:t xml:space="preserve">th </w:t>
      </w:r>
      <w:r w:rsidRPr="000C245A">
        <w:rPr>
          <w:rFonts w:ascii="Arial" w:eastAsia="宋体" w:hAnsi="Arial"/>
          <w:b/>
          <w:sz w:val="24"/>
          <w:szCs w:val="24"/>
        </w:rPr>
        <w:t>- 24</w:t>
      </w:r>
      <w:r w:rsidRPr="000C245A">
        <w:rPr>
          <w:rFonts w:ascii="Arial" w:eastAsia="宋体" w:hAnsi="Arial"/>
          <w:b/>
          <w:sz w:val="24"/>
          <w:szCs w:val="24"/>
          <w:vertAlign w:val="superscript"/>
        </w:rPr>
        <w:t>th</w:t>
      </w:r>
      <w:r w:rsidRPr="000C245A">
        <w:rPr>
          <w:rFonts w:ascii="Arial" w:eastAsia="宋体" w:hAnsi="Arial"/>
          <w:b/>
          <w:sz w:val="24"/>
          <w:szCs w:val="24"/>
        </w:rPr>
        <w:t>, May, 2024</w:t>
      </w:r>
    </w:p>
    <w:p w14:paraId="46DA2A95" w14:textId="6EE7EEE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13179" w:rsidRPr="00813179">
        <w:rPr>
          <w:rFonts w:ascii="Arial" w:hAnsi="Arial" w:cs="Arial"/>
          <w:b/>
        </w:rPr>
        <w:t>Discussion on MPR reduction for FR2 CA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2518AC4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13179" w:rsidRPr="00813179">
        <w:rPr>
          <w:rFonts w:ascii="Arial" w:hAnsi="Arial" w:cs="Arial"/>
          <w:b/>
        </w:rPr>
        <w:t>10.1.1.3.3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5183F5A" w14:textId="6185FA57" w:rsidR="00F263AE" w:rsidRDefault="00BE211B" w:rsidP="001D08D9">
      <w:pPr>
        <w:rPr>
          <w:lang w:eastAsia="zh-CN"/>
        </w:rPr>
      </w:pPr>
      <w:r>
        <w:rPr>
          <w:lang w:eastAsia="zh-CN"/>
        </w:rPr>
        <w:t>According to the WID [1, RP-240828], FR2 MPR enhancement in Rel-19 is for intra-band contiguous CA with uplink CA or single uplink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D08D9" w14:paraId="6AC63A83" w14:textId="77777777" w:rsidTr="001D08D9">
        <w:tc>
          <w:tcPr>
            <w:tcW w:w="9622" w:type="dxa"/>
          </w:tcPr>
          <w:p w14:paraId="2D2C56C3" w14:textId="77777777" w:rsidR="00BE211B" w:rsidRPr="0038453D" w:rsidRDefault="00BE211B" w:rsidP="00BE211B">
            <w:pPr>
              <w:pStyle w:val="af3"/>
              <w:widowControl w:val="0"/>
              <w:numPr>
                <w:ilvl w:val="1"/>
                <w:numId w:val="15"/>
              </w:numPr>
              <w:spacing w:after="0"/>
              <w:ind w:firstLineChars="0"/>
            </w:pPr>
            <w:r w:rsidRPr="0038453D">
              <w:t>Specify MPR applicability based on the UL CCs with activated cells for NR intra-band UL CA configuration</w:t>
            </w:r>
          </w:p>
          <w:p w14:paraId="190936AE" w14:textId="77777777" w:rsidR="00BE211B" w:rsidRPr="00BE43AD" w:rsidRDefault="00BE211B" w:rsidP="00BE211B">
            <w:pPr>
              <w:pStyle w:val="af3"/>
              <w:widowControl w:val="0"/>
              <w:numPr>
                <w:ilvl w:val="2"/>
                <w:numId w:val="15"/>
              </w:numPr>
              <w:spacing w:after="0"/>
              <w:ind w:firstLineChars="0"/>
            </w:pPr>
            <w:r w:rsidRPr="00D111C9">
              <w:rPr>
                <w:rFonts w:hint="eastAsia"/>
                <w:color w:val="A6A6A6" w:themeColor="background1" w:themeShade="A6"/>
              </w:rPr>
              <w:t xml:space="preserve">Include both intra-band UL </w:t>
            </w:r>
            <w:r w:rsidRPr="00D111C9">
              <w:rPr>
                <w:color w:val="A6A6A6" w:themeColor="background1" w:themeShade="A6"/>
              </w:rPr>
              <w:t>contiguous</w:t>
            </w:r>
            <w:r w:rsidRPr="00D111C9">
              <w:rPr>
                <w:rFonts w:hint="eastAsia"/>
                <w:color w:val="A6A6A6" w:themeColor="background1" w:themeShade="A6"/>
              </w:rPr>
              <w:t xml:space="preserve"> </w:t>
            </w:r>
            <w:r w:rsidRPr="00D111C9">
              <w:rPr>
                <w:color w:val="A6A6A6" w:themeColor="background1" w:themeShade="A6"/>
              </w:rPr>
              <w:t>CA and intra-band non-contiguous UL CA for FR1</w:t>
            </w:r>
          </w:p>
          <w:p w14:paraId="118381C3" w14:textId="77777777" w:rsidR="00BE211B" w:rsidRPr="0038453D" w:rsidRDefault="00BE211B" w:rsidP="00BE211B">
            <w:pPr>
              <w:pStyle w:val="af3"/>
              <w:widowControl w:val="0"/>
              <w:numPr>
                <w:ilvl w:val="2"/>
                <w:numId w:val="15"/>
              </w:numPr>
              <w:spacing w:after="0"/>
              <w:ind w:firstLineChars="0"/>
            </w:pPr>
            <w:r w:rsidRPr="0038453D">
              <w:t>Include intra-band UL contiguous CA and intra-band DL contiguous CA with single UL for FR2</w:t>
            </w:r>
          </w:p>
          <w:p w14:paraId="7D15D36D" w14:textId="77777777" w:rsidR="00BE211B" w:rsidRPr="0038453D" w:rsidRDefault="00BE211B" w:rsidP="00BE211B">
            <w:pPr>
              <w:pStyle w:val="af3"/>
              <w:widowControl w:val="0"/>
              <w:numPr>
                <w:ilvl w:val="2"/>
                <w:numId w:val="15"/>
              </w:numPr>
              <w:spacing w:after="0"/>
              <w:ind w:firstLineChars="0"/>
            </w:pPr>
            <w:r w:rsidRPr="0038453D">
              <w:t>MPR requirement is not applicable until the SCell is activated</w:t>
            </w:r>
          </w:p>
          <w:p w14:paraId="0E68EFDA" w14:textId="77777777" w:rsidR="001D08D9" w:rsidRPr="00BE211B" w:rsidRDefault="001D08D9" w:rsidP="00BE211B">
            <w:pPr>
              <w:overflowPunct w:val="0"/>
              <w:autoSpaceDE w:val="0"/>
              <w:autoSpaceDN w:val="0"/>
              <w:adjustRightInd w:val="0"/>
              <w:spacing w:beforeLines="50" w:before="120" w:after="0"/>
              <w:textAlignment w:val="baseline"/>
              <w:rPr>
                <w:lang w:eastAsia="zh-CN"/>
              </w:rPr>
            </w:pPr>
          </w:p>
        </w:tc>
      </w:tr>
    </w:tbl>
    <w:p w14:paraId="20C8ED67" w14:textId="77777777" w:rsidR="001D08D9" w:rsidRPr="00F263AE" w:rsidRDefault="001D08D9" w:rsidP="001D08D9">
      <w:pPr>
        <w:rPr>
          <w:lang w:eastAsia="zh-CN"/>
        </w:rPr>
      </w:pPr>
    </w:p>
    <w:p w14:paraId="74E2D7AD" w14:textId="77777777" w:rsidR="00273AE7" w:rsidRDefault="00273AE7" w:rsidP="008F13B3">
      <w:pPr>
        <w:rPr>
          <w:lang w:val="en-US" w:eastAsia="zh-CN"/>
        </w:rPr>
      </w:pPr>
      <w:r>
        <w:rPr>
          <w:lang w:val="en-US" w:eastAsia="zh-CN"/>
        </w:rPr>
        <w:t>It was initially discussed in RAN4#110bis meeting, and the approved WF [2, R4-2406584] captures the agreement as following: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73AE7" w14:paraId="6B223456" w14:textId="77777777" w:rsidTr="00273AE7">
        <w:tc>
          <w:tcPr>
            <w:tcW w:w="9622" w:type="dxa"/>
          </w:tcPr>
          <w:p w14:paraId="3E43BEAC" w14:textId="77777777" w:rsidR="00273AE7" w:rsidRPr="00A47525" w:rsidRDefault="00273AE7" w:rsidP="00273AE7">
            <w:pPr>
              <w:pStyle w:val="2"/>
              <w:rPr>
                <w:sz w:val="24"/>
              </w:rPr>
            </w:pPr>
            <w:r>
              <w:rPr>
                <w:sz w:val="24"/>
              </w:rPr>
              <w:t>2.3</w:t>
            </w:r>
            <w:r w:rsidRPr="00A47525">
              <w:rPr>
                <w:sz w:val="24"/>
              </w:rPr>
              <w:t xml:space="preserve"> MPR applicability for FR2 </w:t>
            </w:r>
            <w:r>
              <w:rPr>
                <w:sz w:val="24"/>
              </w:rPr>
              <w:t xml:space="preserve">single carrier UL or </w:t>
            </w:r>
            <w:r w:rsidRPr="00A47525">
              <w:rPr>
                <w:sz w:val="24"/>
              </w:rPr>
              <w:t>intra-band UL CA</w:t>
            </w:r>
            <w:r>
              <w:rPr>
                <w:sz w:val="24"/>
              </w:rPr>
              <w:t xml:space="preserve"> with DL intra-band CA</w:t>
            </w:r>
            <w:r w:rsidRPr="00A47525">
              <w:rPr>
                <w:sz w:val="24"/>
              </w:rPr>
              <w:t xml:space="preserve"> </w:t>
            </w:r>
          </w:p>
          <w:p w14:paraId="47F6AB45" w14:textId="77777777" w:rsidR="00273AE7" w:rsidRDefault="00273AE7" w:rsidP="00273AE7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5D15474A" w14:textId="77777777" w:rsidR="00273AE7" w:rsidRDefault="00273AE7" w:rsidP="00273AE7">
            <w:pPr>
              <w:pStyle w:val="af3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following cases will be further discussed in next meeting for applicable MPR </w:t>
            </w:r>
            <w:r w:rsidRPr="002B06E8">
              <w:rPr>
                <w:rFonts w:eastAsia="宋体"/>
                <w:szCs w:val="24"/>
                <w:lang w:eastAsia="zh-CN"/>
              </w:rPr>
              <w:t>chang</w:t>
            </w:r>
            <w:r>
              <w:rPr>
                <w:rFonts w:eastAsia="宋体"/>
                <w:szCs w:val="24"/>
                <w:lang w:eastAsia="zh-CN"/>
              </w:rPr>
              <w:t>ing</w:t>
            </w:r>
            <w:r w:rsidRPr="002B06E8">
              <w:rPr>
                <w:rFonts w:eastAsia="宋体"/>
                <w:szCs w:val="24"/>
                <w:lang w:eastAsia="zh-CN"/>
              </w:rPr>
              <w:t xml:space="preserve"> from DL CABW dependent to UL </w:t>
            </w:r>
            <w:r>
              <w:rPr>
                <w:rFonts w:eastAsia="宋体"/>
                <w:szCs w:val="24"/>
                <w:lang w:eastAsia="zh-CN"/>
              </w:rPr>
              <w:t>carrier/</w:t>
            </w:r>
            <w:r w:rsidRPr="002B06E8">
              <w:rPr>
                <w:rFonts w:eastAsia="宋体"/>
                <w:szCs w:val="24"/>
                <w:lang w:eastAsia="zh-CN"/>
              </w:rPr>
              <w:t xml:space="preserve">CABW dependent </w:t>
            </w:r>
            <w:r>
              <w:rPr>
                <w:rFonts w:eastAsia="宋体"/>
                <w:szCs w:val="24"/>
                <w:lang w:eastAsia="zh-CN"/>
              </w:rPr>
              <w:t>with UE capability</w:t>
            </w:r>
            <w:r w:rsidRPr="007C07A4">
              <w:rPr>
                <w:rFonts w:eastAsiaTheme="minorEastAsia"/>
                <w:lang w:eastAsia="zh-CN"/>
              </w:rPr>
              <w:t>.</w:t>
            </w:r>
          </w:p>
          <w:p w14:paraId="145CB7D4" w14:textId="77777777" w:rsidR="00273AE7" w:rsidRDefault="00273AE7" w:rsidP="00273AE7">
            <w:pPr>
              <w:pStyle w:val="af3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lang w:eastAsia="zh-CN"/>
              </w:rPr>
            </w:pPr>
            <w:r w:rsidRPr="007C07A4">
              <w:rPr>
                <w:rFonts w:eastAsiaTheme="minorEastAsia"/>
                <w:lang w:eastAsia="zh-CN"/>
              </w:rPr>
              <w:t>single carrier UL with DL intra band CA</w:t>
            </w:r>
          </w:p>
          <w:p w14:paraId="4405009B" w14:textId="77777777" w:rsidR="00273AE7" w:rsidRDefault="00273AE7" w:rsidP="00273AE7">
            <w:pPr>
              <w:pStyle w:val="af3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intra-band</w:t>
            </w:r>
            <w:r w:rsidRPr="007C07A4">
              <w:rPr>
                <w:rFonts w:eastAsiaTheme="minorEastAsia"/>
                <w:lang w:eastAsia="zh-CN"/>
              </w:rPr>
              <w:t xml:space="preserve"> UL CA with DL intra band CA (configuration based)</w:t>
            </w:r>
          </w:p>
          <w:p w14:paraId="0EF503D1" w14:textId="77777777" w:rsidR="00273AE7" w:rsidRDefault="00273AE7" w:rsidP="00273AE7">
            <w:pPr>
              <w:pStyle w:val="af3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intra-band</w:t>
            </w:r>
            <w:r w:rsidRPr="007C07A4">
              <w:rPr>
                <w:rFonts w:eastAsiaTheme="minorEastAsia"/>
                <w:lang w:eastAsia="zh-CN"/>
              </w:rPr>
              <w:t xml:space="preserve"> UL CA with DL intra band CA (CC activation based)</w:t>
            </w:r>
          </w:p>
          <w:p w14:paraId="4168C389" w14:textId="6285408B" w:rsidR="00273AE7" w:rsidRPr="00273AE7" w:rsidRDefault="00273AE7" w:rsidP="00273AE7">
            <w:pPr>
              <w:pStyle w:val="af3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lang w:eastAsia="zh-CN"/>
              </w:rPr>
            </w:pPr>
            <w:r w:rsidRPr="003E2A84">
              <w:rPr>
                <w:rFonts w:eastAsiaTheme="minorEastAsia"/>
                <w:lang w:eastAsia="zh-CN"/>
              </w:rPr>
              <w:t>FFS the details of the UE capability</w:t>
            </w:r>
          </w:p>
        </w:tc>
      </w:tr>
    </w:tbl>
    <w:p w14:paraId="68619F04" w14:textId="77777777" w:rsidR="00273AE7" w:rsidRDefault="00273AE7" w:rsidP="008F13B3">
      <w:pPr>
        <w:rPr>
          <w:lang w:val="en-US" w:eastAsia="zh-CN"/>
        </w:rPr>
      </w:pPr>
    </w:p>
    <w:p w14:paraId="561B1717" w14:textId="18E5AE1C" w:rsidR="004036D5" w:rsidRPr="00AB198D" w:rsidRDefault="00273AE7" w:rsidP="008F13B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contribution, we further discuss the 3 cases listed in the WF.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05614630" w14:textId="7B9E90C3" w:rsidR="00DD4281" w:rsidRDefault="00DD4281" w:rsidP="00677DD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WF [2], it is consensus that the MPR applicability will be changed from DL CWBW dependent to UL carrier/CABW dependent with UE capability. Enhanced UEs with this new UE capability is assumed with </w:t>
      </w:r>
      <w:r w:rsidRPr="009A7930">
        <w:rPr>
          <w:lang w:eastAsia="zh-CN"/>
        </w:rPr>
        <w:t>distinct LO between RX and TX</w:t>
      </w:r>
      <w:r>
        <w:rPr>
          <w:lang w:eastAsia="zh-CN"/>
        </w:rPr>
        <w:t xml:space="preserve">. </w:t>
      </w:r>
    </w:p>
    <w:p w14:paraId="2027B7E7" w14:textId="15B0D00D" w:rsidR="00A66CB4" w:rsidRPr="002C12A2" w:rsidRDefault="00A66CB4" w:rsidP="00A66CB4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 xml:space="preserve">Enhanced UEs with new </w:t>
      </w:r>
      <w:r>
        <w:rPr>
          <w:b/>
          <w:bCs/>
        </w:rPr>
        <w:t xml:space="preserve">FR2 MPR reduction </w:t>
      </w:r>
      <w:r w:rsidRPr="00A66CB4">
        <w:rPr>
          <w:b/>
          <w:bCs/>
        </w:rPr>
        <w:t>UE capability is assumed with distinct LO between RX and TX</w:t>
      </w:r>
      <w:r>
        <w:rPr>
          <w:b/>
          <w:bCs/>
        </w:rPr>
        <w:t>.</w:t>
      </w:r>
    </w:p>
    <w:p w14:paraId="09C9DCC9" w14:textId="4CF85063" w:rsidR="00A66CB4" w:rsidRPr="00A66CB4" w:rsidRDefault="00A66CB4" w:rsidP="00677DDF">
      <w:pPr>
        <w:rPr>
          <w:lang w:eastAsia="zh-CN"/>
        </w:rPr>
      </w:pPr>
      <w:r>
        <w:rPr>
          <w:lang w:eastAsia="zh-CN"/>
        </w:rPr>
        <w:t>With distinct LO between RX and TX, the uplink performance is not correlated with downlink CA configuration any more.</w:t>
      </w:r>
    </w:p>
    <w:p w14:paraId="7FCE4AAB" w14:textId="65872245" w:rsidR="00DD4281" w:rsidRDefault="002A7838" w:rsidP="00677DDF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 w:rsidRPr="007C07A4">
        <w:rPr>
          <w:rFonts w:eastAsiaTheme="minorEastAsia"/>
          <w:lang w:eastAsia="zh-CN"/>
        </w:rPr>
        <w:t>single carrier UL with DL intra band CA</w:t>
      </w:r>
      <w:r>
        <w:rPr>
          <w:rFonts w:eastAsiaTheme="minorEastAsia"/>
          <w:lang w:eastAsia="zh-CN"/>
        </w:rPr>
        <w:t xml:space="preserve">, </w:t>
      </w:r>
      <w:r w:rsidR="00A66CB4">
        <w:rPr>
          <w:rFonts w:eastAsiaTheme="minorEastAsia"/>
          <w:lang w:eastAsia="zh-CN"/>
        </w:rPr>
        <w:t>UL CABW is not applicable then. It is natural to apply the MPR requirements of single carrier case in clause 6.2.2 of TS 38.101-2</w:t>
      </w:r>
    </w:p>
    <w:p w14:paraId="52FA8504" w14:textId="24E8D25A" w:rsidR="00A66CB4" w:rsidRDefault="00A66CB4" w:rsidP="00A66CB4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>For the case of single carrier UL with DL intra band CA, the MPR requirements of single carrier case in clause 6.2.2 of TS 38.101-2</w:t>
      </w:r>
      <w:r>
        <w:rPr>
          <w:b/>
          <w:bCs/>
        </w:rPr>
        <w:t xml:space="preserve"> applies for UE supporting</w:t>
      </w:r>
      <w:r w:rsidR="00EB36B1">
        <w:rPr>
          <w:b/>
          <w:bCs/>
        </w:rPr>
        <w:t xml:space="preserve"> the new capability.</w:t>
      </w:r>
    </w:p>
    <w:p w14:paraId="7674D6FF" w14:textId="2C33BFF3" w:rsidR="00D63686" w:rsidRDefault="00D63686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further noticed that in the WID [1] the single uplink case is limited to intra-band DL contiguous CA only. </w:t>
      </w:r>
    </w:p>
    <w:p w14:paraId="01AE6EA7" w14:textId="642B917D" w:rsidR="00D63686" w:rsidRPr="00D63686" w:rsidRDefault="00D63686" w:rsidP="0089354F">
      <w:pPr>
        <w:pStyle w:val="af3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 w:rsidRPr="0038453D">
        <w:t>I</w:t>
      </w:r>
      <w:r w:rsidRPr="00D63686">
        <w:rPr>
          <w:rFonts w:eastAsiaTheme="minorEastAsia"/>
          <w:lang w:eastAsia="zh-CN"/>
        </w:rPr>
        <w:t xml:space="preserve">nclude intra-band UL contiguous CA and intra-band </w:t>
      </w:r>
      <w:r w:rsidRPr="00D63686">
        <w:rPr>
          <w:rFonts w:eastAsiaTheme="minorEastAsia"/>
          <w:highlight w:val="yellow"/>
          <w:lang w:eastAsia="zh-CN"/>
        </w:rPr>
        <w:t>DL contiguous</w:t>
      </w:r>
      <w:r w:rsidRPr="00D63686">
        <w:rPr>
          <w:rFonts w:eastAsiaTheme="minorEastAsia"/>
          <w:lang w:eastAsia="zh-CN"/>
        </w:rPr>
        <w:t xml:space="preserve"> CA with single UL for FR2</w:t>
      </w:r>
    </w:p>
    <w:p w14:paraId="77ABCE4E" w14:textId="7B68E1E1" w:rsidR="00D63686" w:rsidRDefault="00D63686" w:rsidP="00677DDF">
      <w:pPr>
        <w:rPr>
          <w:lang w:eastAsia="zh-CN"/>
        </w:rPr>
      </w:pPr>
      <w:r>
        <w:rPr>
          <w:lang w:eastAsia="zh-CN"/>
        </w:rPr>
        <w:t xml:space="preserve">But in our understanding the FR2 MPR enhancement for the single UL case is also applicable for intra-band </w:t>
      </w:r>
      <w:r w:rsidRPr="003B44EA">
        <w:rPr>
          <w:highlight w:val="yellow"/>
          <w:lang w:eastAsia="zh-CN"/>
        </w:rPr>
        <w:t>DL non-contiguous</w:t>
      </w:r>
      <w:r>
        <w:rPr>
          <w:lang w:eastAsia="zh-CN"/>
        </w:rPr>
        <w:t xml:space="preserve"> CA with single UL. </w:t>
      </w:r>
    </w:p>
    <w:p w14:paraId="382A97F6" w14:textId="74604B06" w:rsidR="00D63686" w:rsidRDefault="00D63686" w:rsidP="00D63686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clarify whether </w:t>
      </w:r>
      <w:r w:rsidRPr="00D63686">
        <w:rPr>
          <w:b/>
          <w:bCs/>
        </w:rPr>
        <w:t>FR2 MPR enhancement for the single UL case is also applicable for intra-band DL non-contiguous CA with single UL.</w:t>
      </w:r>
    </w:p>
    <w:p w14:paraId="0C3AAA9B" w14:textId="5489BF03" w:rsidR="00A66CB4" w:rsidRDefault="00EB36B1" w:rsidP="00677DDF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</w:t>
      </w: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</w:t>
      </w:r>
      <w:r>
        <w:rPr>
          <w:rFonts w:eastAsiaTheme="minorEastAsia"/>
          <w:lang w:eastAsia="zh-CN"/>
        </w:rPr>
        <w:t>, there are two scenarios for further discussion</w:t>
      </w:r>
      <w:r w:rsidR="003F0B8D">
        <w:rPr>
          <w:rFonts w:eastAsiaTheme="minorEastAsia"/>
          <w:lang w:eastAsia="zh-CN"/>
        </w:rPr>
        <w:t>:</w:t>
      </w:r>
    </w:p>
    <w:p w14:paraId="7E461A1A" w14:textId="77777777" w:rsidR="00750597" w:rsidRDefault="00750597" w:rsidP="00750597">
      <w:pPr>
        <w:pStyle w:val="af3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 (configuration based)</w:t>
      </w:r>
    </w:p>
    <w:p w14:paraId="62646090" w14:textId="77777777" w:rsidR="00750597" w:rsidRDefault="00750597" w:rsidP="00750597">
      <w:pPr>
        <w:pStyle w:val="af3"/>
        <w:numPr>
          <w:ilvl w:val="1"/>
          <w:numId w:val="2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intra-band</w:t>
      </w:r>
      <w:r w:rsidRPr="007C07A4">
        <w:rPr>
          <w:rFonts w:eastAsiaTheme="minorEastAsia"/>
          <w:lang w:eastAsia="zh-CN"/>
        </w:rPr>
        <w:t xml:space="preserve"> UL CA with DL intra band CA (CC activation based)</w:t>
      </w:r>
    </w:p>
    <w:p w14:paraId="42511F3B" w14:textId="3E014E97" w:rsidR="00EB36B1" w:rsidRPr="00750597" w:rsidRDefault="00643DFE" w:rsidP="00A15E7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not very clear what the difference is in architecture or UE design between ‘configuration based’ and ‘CC activation based’ assuming the UE is </w:t>
      </w:r>
      <w:r w:rsidR="000109BE">
        <w:rPr>
          <w:rFonts w:eastAsiaTheme="minorEastAsia"/>
          <w:lang w:eastAsia="zh-CN"/>
        </w:rPr>
        <w:t xml:space="preserve">already </w:t>
      </w:r>
      <w:r>
        <w:rPr>
          <w:rFonts w:eastAsiaTheme="minorEastAsia"/>
          <w:lang w:eastAsia="zh-CN"/>
        </w:rPr>
        <w:t xml:space="preserve">equipped with </w:t>
      </w:r>
      <w:r w:rsidRPr="009A7930">
        <w:rPr>
          <w:lang w:eastAsia="zh-CN"/>
        </w:rPr>
        <w:t>distinct LO between RX and TX</w:t>
      </w:r>
      <w:r>
        <w:rPr>
          <w:lang w:eastAsia="zh-CN"/>
        </w:rPr>
        <w:t>.</w:t>
      </w:r>
      <w:r w:rsidR="000109BE">
        <w:rPr>
          <w:lang w:eastAsia="zh-CN"/>
        </w:rPr>
        <w:t xml:space="preserve"> In last meeting, there is proposal to enhance FR2 MPR with two levels, 1</w:t>
      </w:r>
      <w:r w:rsidR="000109BE" w:rsidRPr="000109BE">
        <w:rPr>
          <w:vertAlign w:val="superscript"/>
          <w:lang w:eastAsia="zh-CN"/>
        </w:rPr>
        <w:t>st</w:t>
      </w:r>
      <w:r w:rsidR="000109BE">
        <w:rPr>
          <w:lang w:eastAsia="zh-CN"/>
        </w:rPr>
        <w:t xml:space="preserve"> level is for UE supporting MPR reduction based on</w:t>
      </w:r>
      <w:r w:rsidR="008231EE">
        <w:rPr>
          <w:lang w:eastAsia="zh-CN"/>
        </w:rPr>
        <w:t xml:space="preserve"> CC</w:t>
      </w:r>
      <w:r w:rsidR="000109BE">
        <w:rPr>
          <w:lang w:eastAsia="zh-CN"/>
        </w:rPr>
        <w:t xml:space="preserve"> configuration, 2</w:t>
      </w:r>
      <w:r w:rsidR="000109BE" w:rsidRPr="000109BE">
        <w:rPr>
          <w:vertAlign w:val="superscript"/>
          <w:lang w:eastAsia="zh-CN"/>
        </w:rPr>
        <w:t>nd</w:t>
      </w:r>
      <w:r w:rsidR="000109BE">
        <w:rPr>
          <w:lang w:eastAsia="zh-CN"/>
        </w:rPr>
        <w:t xml:space="preserve"> level is for more advanced UE supporting MPR reduction based on CC activation. </w:t>
      </w:r>
      <w:r w:rsidR="003F0B8D">
        <w:rPr>
          <w:lang w:eastAsia="zh-CN"/>
        </w:rPr>
        <w:t xml:space="preserve">Assuming UE is equipped with </w:t>
      </w:r>
      <w:r w:rsidR="003F0B8D" w:rsidRPr="009A7930">
        <w:rPr>
          <w:lang w:eastAsia="zh-CN"/>
        </w:rPr>
        <w:t>distinct LO between RX and TX</w:t>
      </w:r>
      <w:r w:rsidR="003F0B8D">
        <w:rPr>
          <w:lang w:eastAsia="zh-CN"/>
        </w:rPr>
        <w:t>, it is necessary to make clear what the difficulty is to support ‘CC activation based’ MPR directly.</w:t>
      </w:r>
    </w:p>
    <w:p w14:paraId="2359D54E" w14:textId="55FD573E" w:rsidR="000109BE" w:rsidRDefault="00A167CA" w:rsidP="000109BE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</w:t>
      </w:r>
      <w:r w:rsidR="000109BE">
        <w:rPr>
          <w:b/>
          <w:bCs/>
        </w:rPr>
        <w:t xml:space="preserve"> 2</w:t>
      </w:r>
      <w:r w:rsidR="000109BE" w:rsidRPr="00DF1B01">
        <w:rPr>
          <w:b/>
          <w:bCs/>
        </w:rPr>
        <w:t>:</w:t>
      </w:r>
      <w:r w:rsidR="000109BE" w:rsidRPr="00DF1B01">
        <w:rPr>
          <w:b/>
          <w:bCs/>
        </w:rPr>
        <w:tab/>
      </w:r>
      <w:r w:rsidR="002D7E45">
        <w:rPr>
          <w:b/>
          <w:bCs/>
        </w:rPr>
        <w:t>if MPR is to be enhanced with two separate levels for ‘configuration based’ and ‘CC activation based’</w:t>
      </w:r>
      <w:r w:rsidR="00F0219C">
        <w:rPr>
          <w:b/>
          <w:bCs/>
        </w:rPr>
        <w:t xml:space="preserve"> respectively</w:t>
      </w:r>
      <w:r w:rsidR="002D7E45">
        <w:rPr>
          <w:b/>
          <w:bCs/>
        </w:rPr>
        <w:t xml:space="preserve">, </w:t>
      </w:r>
      <w:r w:rsidR="000109BE">
        <w:rPr>
          <w:b/>
          <w:bCs/>
        </w:rPr>
        <w:t xml:space="preserve">clarification is needed </w:t>
      </w:r>
      <w:r w:rsidR="002D7E45">
        <w:rPr>
          <w:b/>
          <w:bCs/>
        </w:rPr>
        <w:t>in terms of UE architecture or functionality difference in design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206306B0" w14:textId="77777777" w:rsidR="00BD3398" w:rsidRPr="002C12A2" w:rsidRDefault="00BD3398" w:rsidP="00BD3398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 xml:space="preserve">Enhanced UEs with new </w:t>
      </w:r>
      <w:r>
        <w:rPr>
          <w:b/>
          <w:bCs/>
        </w:rPr>
        <w:t xml:space="preserve">FR2 MPR reduction </w:t>
      </w:r>
      <w:r w:rsidRPr="00A66CB4">
        <w:rPr>
          <w:b/>
          <w:bCs/>
        </w:rPr>
        <w:t>UE capability is assumed with distinct LO between RX and TX</w:t>
      </w:r>
      <w:r>
        <w:rPr>
          <w:b/>
          <w:bCs/>
        </w:rPr>
        <w:t>.</w:t>
      </w:r>
    </w:p>
    <w:p w14:paraId="0291B9C8" w14:textId="77777777" w:rsidR="00BD3398" w:rsidRDefault="00BD3398" w:rsidP="00BD3398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66CB4">
        <w:rPr>
          <w:b/>
          <w:bCs/>
        </w:rPr>
        <w:t>For the case of single carrier UL with DL intra band CA, the MPR requirements of single carrier case in clause 6.2.2 of TS 38.101-2</w:t>
      </w:r>
      <w:r>
        <w:rPr>
          <w:b/>
          <w:bCs/>
        </w:rPr>
        <w:t xml:space="preserve"> applies for UE supporting the new capability.</w:t>
      </w:r>
    </w:p>
    <w:p w14:paraId="12D5F1C5" w14:textId="77777777" w:rsidR="00BD3398" w:rsidRDefault="00BD3398" w:rsidP="00BD3398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RAN4 to clarify whether </w:t>
      </w:r>
      <w:r w:rsidRPr="00D63686">
        <w:rPr>
          <w:b/>
          <w:bCs/>
        </w:rPr>
        <w:t>FR2 MPR enhancement for the single UL case is also applicable for intra-band DL non-contiguous CA with single UL.</w:t>
      </w:r>
    </w:p>
    <w:p w14:paraId="0C843A9C" w14:textId="3B8B9E66" w:rsidR="000929D3" w:rsidRPr="00BD3398" w:rsidRDefault="00BD3398" w:rsidP="000929D3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if MPR is to be enhanced with two separate levels for ‘configuration based’ and ‘CC activation based’ respectively, clarification is needed in terms of UE architecture or functionality difference in design</w:t>
      </w:r>
    </w:p>
    <w:p w14:paraId="1FB02C5F" w14:textId="77777777" w:rsidR="00BE211B" w:rsidRDefault="00BE211B" w:rsidP="000929D3">
      <w:pPr>
        <w:spacing w:after="120"/>
        <w:ind w:left="1418" w:hanging="1418"/>
        <w:rPr>
          <w:b/>
          <w:bCs/>
        </w:rPr>
      </w:pP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B7325E8" w14:textId="0C18AB91" w:rsidR="005257BF" w:rsidRPr="00D93882" w:rsidRDefault="00D7739C" w:rsidP="00BE211B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D7739C">
        <w:rPr>
          <w:lang w:eastAsia="zh-CN"/>
        </w:rPr>
        <w:t>R</w:t>
      </w:r>
      <w:r w:rsidR="005257BF">
        <w:rPr>
          <w:lang w:eastAsia="zh-CN"/>
        </w:rPr>
        <w:t>P</w:t>
      </w:r>
      <w:r w:rsidRPr="00D7739C">
        <w:rPr>
          <w:lang w:eastAsia="zh-CN"/>
        </w:rPr>
        <w:t>-2</w:t>
      </w:r>
      <w:r w:rsidR="005257BF">
        <w:rPr>
          <w:lang w:eastAsia="zh-CN"/>
        </w:rPr>
        <w:t>408</w:t>
      </w:r>
      <w:r w:rsidR="00BE211B">
        <w:rPr>
          <w:lang w:eastAsia="zh-CN"/>
        </w:rPr>
        <w:t>28</w:t>
      </w:r>
      <w:r w:rsidR="005259C8">
        <w:rPr>
          <w:lang w:eastAsia="zh-CN"/>
        </w:rPr>
        <w:t xml:space="preserve">    “</w:t>
      </w:r>
      <w:r w:rsidR="00BE211B" w:rsidRPr="00BE211B">
        <w:rPr>
          <w:lang w:eastAsia="zh-CN"/>
        </w:rPr>
        <w:t>New WID: UE RF enhancements for NR FR1 and FR2, Phase 4</w:t>
      </w:r>
      <w:r w:rsidR="00BE211B">
        <w:rPr>
          <w:lang w:eastAsia="zh-CN"/>
        </w:rPr>
        <w:t xml:space="preserve">”, </w:t>
      </w:r>
      <w:r w:rsidR="00BE211B" w:rsidRPr="00BE211B">
        <w:rPr>
          <w:lang w:eastAsia="zh-CN"/>
        </w:rPr>
        <w:t>RAN4 chair (Huawei)</w:t>
      </w:r>
    </w:p>
    <w:p w14:paraId="621CDDD5" w14:textId="16AACD47" w:rsidR="00D93882" w:rsidRPr="000C4CE4" w:rsidRDefault="00D93882" w:rsidP="00D93882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R4-2406584</w:t>
      </w:r>
      <w:r>
        <w:rPr>
          <w:lang w:val="en-US" w:eastAsia="zh-CN"/>
        </w:rPr>
        <w:t xml:space="preserve">    “</w:t>
      </w:r>
      <w:r w:rsidRPr="00D93882">
        <w:rPr>
          <w:lang w:val="en-US" w:eastAsia="zh-CN"/>
        </w:rPr>
        <w:t>WF on power</w:t>
      </w:r>
      <w:bookmarkStart w:id="1" w:name="_GoBack"/>
      <w:bookmarkEnd w:id="1"/>
      <w:r w:rsidRPr="00D93882">
        <w:rPr>
          <w:lang w:val="en-US" w:eastAsia="zh-CN"/>
        </w:rPr>
        <w:t xml:space="preserve"> domain enhancements</w:t>
      </w:r>
      <w:r>
        <w:rPr>
          <w:lang w:val="en-US" w:eastAsia="zh-CN"/>
        </w:rPr>
        <w:t>”, Huawei, HiSilicon</w:t>
      </w:r>
    </w:p>
    <w:sectPr w:rsidR="00D93882" w:rsidRPr="000C4CE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F1A4D" w14:textId="77777777" w:rsidR="00A05C30" w:rsidRDefault="00A05C30" w:rsidP="00707BAC">
      <w:pPr>
        <w:spacing w:after="0"/>
      </w:pPr>
      <w:r>
        <w:separator/>
      </w:r>
    </w:p>
  </w:endnote>
  <w:endnote w:type="continuationSeparator" w:id="0">
    <w:p w14:paraId="0C20656C" w14:textId="77777777" w:rsidR="00A05C30" w:rsidRDefault="00A05C30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B0CE5" w14:textId="77777777" w:rsidR="00A05C30" w:rsidRDefault="00A05C30" w:rsidP="00707BAC">
      <w:pPr>
        <w:spacing w:after="0"/>
      </w:pPr>
      <w:r>
        <w:separator/>
      </w:r>
    </w:p>
  </w:footnote>
  <w:footnote w:type="continuationSeparator" w:id="0">
    <w:p w14:paraId="28518C2A" w14:textId="77777777" w:rsidR="00A05C30" w:rsidRDefault="00A05C30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6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2"/>
  </w:num>
  <w:num w:numId="5">
    <w:abstractNumId w:val="20"/>
  </w:num>
  <w:num w:numId="6">
    <w:abstractNumId w:val="16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17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6"/>
  </w:num>
  <w:num w:numId="18">
    <w:abstractNumId w:val="0"/>
  </w:num>
  <w:num w:numId="19">
    <w:abstractNumId w:val="19"/>
  </w:num>
  <w:num w:numId="20">
    <w:abstractNumId w:val="15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09BE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E36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26B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1E77"/>
    <w:rsid w:val="001735AE"/>
    <w:rsid w:val="00173973"/>
    <w:rsid w:val="001744FE"/>
    <w:rsid w:val="001761E9"/>
    <w:rsid w:val="00176AE3"/>
    <w:rsid w:val="00176BE7"/>
    <w:rsid w:val="00177E2D"/>
    <w:rsid w:val="00180A49"/>
    <w:rsid w:val="00180BAA"/>
    <w:rsid w:val="0018184B"/>
    <w:rsid w:val="00183AE5"/>
    <w:rsid w:val="00186928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DE8"/>
    <w:rsid w:val="00222E28"/>
    <w:rsid w:val="002267B2"/>
    <w:rsid w:val="00227E7B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3AE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A7838"/>
    <w:rsid w:val="002B09A1"/>
    <w:rsid w:val="002B1D52"/>
    <w:rsid w:val="002B25D9"/>
    <w:rsid w:val="002B2704"/>
    <w:rsid w:val="002B3F06"/>
    <w:rsid w:val="002B460D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E45"/>
    <w:rsid w:val="002E00C3"/>
    <w:rsid w:val="002E1105"/>
    <w:rsid w:val="002E332E"/>
    <w:rsid w:val="002E36E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823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4EA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6DE2"/>
    <w:rsid w:val="003C6E6F"/>
    <w:rsid w:val="003D15E3"/>
    <w:rsid w:val="003D1FB3"/>
    <w:rsid w:val="003D4428"/>
    <w:rsid w:val="003D570B"/>
    <w:rsid w:val="003D5A84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B8D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EE5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1539"/>
    <w:rsid w:val="005216C8"/>
    <w:rsid w:val="005257BF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405E9"/>
    <w:rsid w:val="00641460"/>
    <w:rsid w:val="00643D0F"/>
    <w:rsid w:val="00643DFE"/>
    <w:rsid w:val="006443D3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72061"/>
    <w:rsid w:val="006729D3"/>
    <w:rsid w:val="00673BA6"/>
    <w:rsid w:val="006747F3"/>
    <w:rsid w:val="00674D9B"/>
    <w:rsid w:val="00675BB6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0597"/>
    <w:rsid w:val="007511CF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1641"/>
    <w:rsid w:val="00811750"/>
    <w:rsid w:val="00811C4E"/>
    <w:rsid w:val="00811E73"/>
    <w:rsid w:val="00813119"/>
    <w:rsid w:val="00813179"/>
    <w:rsid w:val="00813F6D"/>
    <w:rsid w:val="00816A2B"/>
    <w:rsid w:val="0081767F"/>
    <w:rsid w:val="008231EE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C30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5E75"/>
    <w:rsid w:val="00A167BE"/>
    <w:rsid w:val="00A167CA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6CB4"/>
    <w:rsid w:val="00A67A90"/>
    <w:rsid w:val="00A67B01"/>
    <w:rsid w:val="00A70D20"/>
    <w:rsid w:val="00A71E0A"/>
    <w:rsid w:val="00A71E12"/>
    <w:rsid w:val="00A72DC8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247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6423"/>
    <w:rsid w:val="00AD73C1"/>
    <w:rsid w:val="00AD7D8B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3092"/>
    <w:rsid w:val="00BB43CE"/>
    <w:rsid w:val="00BC0000"/>
    <w:rsid w:val="00BC0F3D"/>
    <w:rsid w:val="00BC1273"/>
    <w:rsid w:val="00BC160C"/>
    <w:rsid w:val="00BC3A05"/>
    <w:rsid w:val="00BC5704"/>
    <w:rsid w:val="00BC60D9"/>
    <w:rsid w:val="00BC68FA"/>
    <w:rsid w:val="00BC737D"/>
    <w:rsid w:val="00BC7649"/>
    <w:rsid w:val="00BD1B38"/>
    <w:rsid w:val="00BD1EA2"/>
    <w:rsid w:val="00BD3398"/>
    <w:rsid w:val="00BD4AC5"/>
    <w:rsid w:val="00BD77CF"/>
    <w:rsid w:val="00BE062F"/>
    <w:rsid w:val="00BE0EF3"/>
    <w:rsid w:val="00BE1ACF"/>
    <w:rsid w:val="00BE1BA1"/>
    <w:rsid w:val="00BE211B"/>
    <w:rsid w:val="00BE3522"/>
    <w:rsid w:val="00BE3C14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B88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101C0"/>
    <w:rsid w:val="00D1047C"/>
    <w:rsid w:val="00D111C9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686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91070"/>
    <w:rsid w:val="00D92533"/>
    <w:rsid w:val="00D92CB5"/>
    <w:rsid w:val="00D931A8"/>
    <w:rsid w:val="00D93882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6CC"/>
    <w:rsid w:val="00DB2F50"/>
    <w:rsid w:val="00DB69C3"/>
    <w:rsid w:val="00DB6A73"/>
    <w:rsid w:val="00DB6C32"/>
    <w:rsid w:val="00DC0DB9"/>
    <w:rsid w:val="00DC0E3F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4281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4D49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36B1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219C"/>
    <w:rsid w:val="00F03916"/>
    <w:rsid w:val="00F03A94"/>
    <w:rsid w:val="00F03E83"/>
    <w:rsid w:val="00F04677"/>
    <w:rsid w:val="00F04C12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3DAB-A59E-4708-9AB4-C8481B7C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23263</TotalTime>
  <Pages>2</Pages>
  <Words>726</Words>
  <Characters>3892</Characters>
  <Application>Microsoft Office Word</Application>
  <DocSecurity>0</DocSecurity>
  <Lines>73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Samsung_Bozhi</cp:lastModifiedBy>
  <cp:revision>142</cp:revision>
  <cp:lastPrinted>2020-04-08T05:49:00Z</cp:lastPrinted>
  <dcterms:created xsi:type="dcterms:W3CDTF">2020-04-08T09:11:00Z</dcterms:created>
  <dcterms:modified xsi:type="dcterms:W3CDTF">2024-05-13T07:54:00Z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